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97be626d2b9cd558c36b2519ad3e9e17b3906"/>
    <w:p>
      <w:pPr>
        <w:pStyle w:val="Heading3"/>
      </w:pPr>
      <w:r>
        <w:t xml:space="preserve">Районные соревнования по настольному теннису в рамках Окружной Спартакиады « Московский двор - спортивный двор»</w:t>
      </w:r>
    </w:p>
    <w:p>
      <w:pPr>
        <w:pStyle w:val="FirstParagraph"/>
      </w:pPr>
      <w:r>
        <w:t xml:space="preserve">18.10.2018</w:t>
      </w:r>
    </w:p>
    <w:p>
      <w:pPr>
        <w:pStyle w:val="BodyText"/>
      </w:pPr>
      <w:r>
        <w:t xml:space="preserve">18 октября 2018 года  в  15-00   в Школе №1550 по адресу: ул.Беговая,19 состоятся районные соревнования по настольному теннису в рамках Окружной Спартакиады  « Московский двор - спортивный двор».</w:t>
      </w:r>
      <w:r>
        <w:br/>
      </w:r>
      <w:r>
        <w:t xml:space="preserve">  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http://begovoy.mos.ru/sports/infrastructure/detail/7643518.html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643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643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2025-07-15T18:34:33Z</dcterms:created>
  <dcterms:modified xsi:type="dcterms:W3CDTF">2025-07-15T18:34:33Z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