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83a3ecf394ad89acf5aea18b012b2dd3f45e9"/>
    <w:p>
      <w:pPr>
        <w:pStyle w:val="Heading3"/>
      </w:pPr>
      <w:r>
        <w:t xml:space="preserve">Районные соревнования по настольному теннису пройдут 16 октября</w:t>
      </w:r>
    </w:p>
    <w:p>
      <w:pPr>
        <w:pStyle w:val="FirstParagraph"/>
      </w:pPr>
      <w:r>
        <w:t xml:space="preserve">16.10.2018</w:t>
      </w:r>
    </w:p>
    <w:p>
      <w:pPr>
        <w:pStyle w:val="BodyText"/>
      </w:pPr>
      <w:r>
        <w:t xml:space="preserve">16 октября 2018 года  в  17-30   в ГБУ ФДЦ «Русь»  по адресу:</w:t>
      </w:r>
      <w:r>
        <w:br/>
      </w:r>
      <w:r>
        <w:t xml:space="preserve">Ленинградский проспект,28 состоятся районные соревнования по настольному теннису в рамках Окружной Спартакиады «Спорт для всех».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http://begovoy.mos.ru/sports/news/upcoming-sporting-events/detail/7636080.html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636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636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2024-02-14T11:18:34Z</dcterms:created>
  <dcterms:modified xsi:type="dcterms:W3CDTF">2024-02-14T11:18:34Z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