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a4fddb623c5fb8078fd9a95645511984ec879"/>
    <w:p>
      <w:pPr>
        <w:pStyle w:val="Heading3"/>
      </w:pPr>
      <w:r>
        <w:t xml:space="preserve">Районные соревнования по шахматам состоятся 12 февраля</w:t>
      </w:r>
    </w:p>
    <w:p>
      <w:pPr>
        <w:pStyle w:val="FirstParagraph"/>
      </w:pPr>
      <w:r>
        <w:t xml:space="preserve">11.02.2018</w:t>
      </w:r>
    </w:p>
    <w:p>
      <w:pPr>
        <w:pStyle w:val="BodyText"/>
      </w:pPr>
      <w:r>
        <w:t xml:space="preserve">12 февраля в 13-00 2018 года   в ГБОУ «Кадетская школа № 1784 имени генерала армии В.А. Матросова»  по адресу: ул. Скаковая, д.20, состоятся районные соревнования по шахматам в рамках Московской комплексной межокружной Спартакиады «Московский двор - спортивный двор» (соревнования для детей, подростков и молодежи в возрасте дот 18 лет).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http://begovoy.mos.ru/sports/news/upcoming-sporting-events/detail/7140612.html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140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140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2025-06-12T23:13:02Z</dcterms:created>
  <dcterms:modified xsi:type="dcterms:W3CDTF">2025-06-12T23:13:02Z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