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ортивный-праздник-под-флагом-россии"/>
    <w:p>
      <w:pPr>
        <w:pStyle w:val="Heading3"/>
      </w:pPr>
      <w:r>
        <w:t xml:space="preserve">Спортивный праздник «Под флагом России»</w:t>
      </w:r>
    </w:p>
    <w:p>
      <w:pPr>
        <w:pStyle w:val="FirstParagraph"/>
      </w:pPr>
      <w:r>
        <w:t xml:space="preserve">22.08.2016</w:t>
      </w:r>
    </w:p>
    <w:p>
      <w:pPr>
        <w:pStyle w:val="BodyText"/>
      </w:pPr>
      <w:r>
        <w:t xml:space="preserve">Спортивный праздник был приурочен ко Дню Государственного флага Российской Федерации.</w:t>
      </w:r>
    </w:p>
    <w:p>
      <w:pPr>
        <w:pStyle w:val="BodyText"/>
      </w:pPr>
      <w:r>
        <w:t xml:space="preserve">Взрослые и дети, пришедшие на праздник, участвовали в веселых спортивных эстафетах, играли в теннис, шахматы и шашки. Победители соревнований были награждены памятными сувенирами.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http://begovoy.mos.ru/sports/news/detail/3586285.html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5862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35862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2025-06-16T13:02:33Z</dcterms:created>
  <dcterms:modified xsi:type="dcterms:W3CDTF">2025-06-16T13:02:33Z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