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cadeb9de2393f4568052c8e8ea973372193e7"/>
    <w:p>
      <w:pPr>
        <w:pStyle w:val="Heading3"/>
      </w:pPr>
      <w:r>
        <w:t xml:space="preserve">УВД по САО ГУ МВД России по г. Москве информирует граждан</w:t>
      </w:r>
    </w:p>
    <w:p>
      <w:pPr>
        <w:pStyle w:val="FirstParagraph"/>
      </w:pPr>
      <w:r>
        <w:t xml:space="preserve">29.03.2021</w:t>
      </w:r>
    </w:p>
    <w:p>
      <w:pPr>
        <w:pStyle w:val="BodyText"/>
      </w:pPr>
      <w:r>
        <w:t xml:space="preserve">Федеральным законом от 09.03.2021 № 37 ФЗ «О внесении изменений в кодекс Российской Федерации об административных правонарушениях»</w:t>
      </w:r>
      <w:r>
        <w:t xml:space="preserve"> </w:t>
      </w:r>
      <w:r>
        <w:rPr>
          <w:iCs/>
          <w:i/>
        </w:rPr>
        <w:t xml:space="preserve">(вступает в силу 20.03.2021 г.) изменены санкции статей 5.10 и 5.12 Кодекса Российской Федерации об административных правонарушениях.</w:t>
      </w:r>
    </w:p>
    <w:p>
      <w:pPr>
        <w:pStyle w:val="BodyText"/>
      </w:pPr>
    </w:p>
    <w:p>
      <w:pPr>
        <w:pStyle w:val="BodyText"/>
      </w:pPr>
      <w:r>
        <w:t xml:space="preserve">Согласно Федеральному закону размер штрафов за нарушение правил предвыборной агитации для граждан и должностных лиц увеличился более, чем в десять раз. Аналогичные санкции предусмотрены за изготовление и размещение агитационных материалов с нарушением избирательного законодательства. Составлять протоколы об указанных административных правонарушениях уполномочены должностные лица органов внутренних дел (полиции), дела, которые рассматриваются судьями.</w:t>
      </w:r>
    </w:p>
    <w:p>
      <w:pPr>
        <w:pStyle w:val="BodyText"/>
      </w:pPr>
      <w:r>
        <w:t xml:space="preserve">Также Федеральным законом от 09.03.2021 г. № 43-ФЗ (вступил в силу 09.03.2021 г.) внесены изменения в отдельные законодательные акты Росссийской Федерации в части регулирования вопросов размещения агитационных материалов в сети «Интернет».</w:t>
      </w:r>
    </w:p>
    <w:p>
      <w:pPr>
        <w:pStyle w:val="BodyText"/>
      </w:pPr>
      <w:r>
        <w:t xml:space="preserve">В частности, Центральной избирательной комиссии Российской Федерации предоставлено право обращаться в Роскомнадзор с представлением о пресечении распространения в информационно-телекоммуникационных сетях, в том числе в сети «Интернет», агитационных материалов, изготовленных и распространяемых с нарушением законодательства. Такое же право предоставлено избирательным комиссиям субъектов Российской Федерации и территориальным комиссиям, организующим выборы в органы публичной власти федеральной территории. Роскомнадзор наделен полномочиями принимать меры по ограничению доступа к информационным ресурсам, распространяющим информацию и агитационные материалы с нарушением требований законодательства Российской Федерации о выборах и референдумах по обращению соответствующей избирательной комиссии.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http://begovoy.mos.ru/safety/atc-cao-reports/detail/9823056.html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8230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8230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2025-06-28T14:29:18Z</dcterms:created>
  <dcterms:modified xsi:type="dcterms:W3CDTF">2025-06-28T14:29:18Z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