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57428b1491ba838ca20404acfbf19bf44118"/>
    <w:p>
      <w:pPr>
        <w:pStyle w:val="Heading3"/>
      </w:pPr>
      <w:r>
        <w:t xml:space="preserve">Экспертно-криминалистическая служба системы МВД России отмечает профессиональный праздник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Сегодня почти 17 тысяч экспертов органов внутренних дел Российской Федерации ежедневным кропотливым трудом вносят весомый вклад в раскрытие преступлений, тем самым оказывая неоценимую помощь следственным и оперативным подразделениям. Каждый год эксперты-криминалисты выполняют около 2 миллионов экспертиз и исследований, сопровождают оперативно-розыскные мероприятия и осмотры мест происшествий, проводят государственную геномную регистрацию и проверки по экспертно-криминалистическим учетам.</w:t>
      </w:r>
    </w:p>
    <w:p>
      <w:pPr>
        <w:pStyle w:val="BodyText"/>
      </w:pPr>
      <w:r>
        <w:t xml:space="preserve">К примеру, в минувшем году при использовании ДНК-учета раскрыта серия убийств пожилых женщин, продолжавшихся с 2011 года на территории Республики Татарстан и соседних регионов. С мест преступлений удалось изъять генетический материал предполагаемого преступника, а комплекс проведенных экспертиз позволил установить его личность и задержать.</w:t>
      </w:r>
    </w:p>
    <w:p>
      <w:pPr>
        <w:pStyle w:val="BodyText"/>
      </w:pPr>
      <w:r>
        <w:t xml:space="preserve">В системе МВД России активно развивается производство наукоемких исследований: ДНК, компьютерных, строительно-технических, судебно-экономических, физико-химических, фоноскопических, лингвистических и других. Придается большое значение совершенствованию научно-методического обеспечения.</w:t>
      </w:r>
    </w:p>
    <w:p>
      <w:pPr>
        <w:pStyle w:val="BodyText"/>
      </w:pPr>
      <w:r>
        <w:t xml:space="preserve">В процесс разработки и проведения научных исследований вовлечены специалисты ведущих научных организаций страны: Национального исследовательского центра «Курчатовский институт», инновационного центра «Сколково», Финансового университета при Правительстве Российской Федерации и Российского экономического университета имени Г.В. Плеханова.</w:t>
      </w:r>
    </w:p>
    <w:p>
      <w:pPr>
        <w:pStyle w:val="BodyText"/>
      </w:pPr>
      <w:r>
        <w:t xml:space="preserve">Подписано соглашение о научно-техническом сотрудничестве с ФГБУ «Центральный научно-исследовательский и проектный институт Министерства строительства и жилищно-коммунального хозяйства Российской Федерации». Это позволит эффективно решать наиболее сложные экспертные вопросы в процессе расследования уголовных дел.</w:t>
      </w:r>
    </w:p>
    <w:p>
      <w:pPr>
        <w:pStyle w:val="BodyText"/>
      </w:pPr>
      <w:r>
        <w:t xml:space="preserve">На современном этапе одной из приоритетных задач службы является дальнейшее развитие системы геномной регистрации, в том числе расширение перечня категорий типируемых лиц и организация использования системы при розыске без вести пропавших. Соответствующий проект федерального закона в настоящее время находится на рассмотрении в Государственной Думе Федерального Собрания Российской Федерации.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http://begovoy.mos.ru/safety/atc-cao-reports/detail/9755964.html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55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55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2025-06-27T01:38:51Z</dcterms:created>
  <dcterms:modified xsi:type="dcterms:W3CDTF">2025-06-27T01:38:51Z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