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f94ce10da8bf665a586b3c361a393c9f9a25e"/>
    <w:p>
      <w:pPr>
        <w:pStyle w:val="Heading3"/>
      </w:pPr>
      <w:r>
        <w:t xml:space="preserve">Столичными оперативниками установлен подозреваемый в совершении особо тяжких преступлений в отношении женщин</w:t>
      </w:r>
    </w:p>
    <w:p>
      <w:pPr>
        <w:pStyle w:val="FirstParagraph"/>
      </w:pPr>
      <w:r>
        <w:t xml:space="preserve">17.01.2025</w:t>
      </w:r>
    </w:p>
    <w:p>
      <w:pPr>
        <w:pStyle w:val="BodyText"/>
      </w:pPr>
      <w:r>
        <w:t xml:space="preserve">Сотрудниками уголовного розыска УВД по САО ГУ МВД России по г. Москве совместно с коллегами из столичного Главка в ходе проведения комплекса оперативно-розыскных мероприятий в отношении ранее осужденного за грабежи и действия насильственного характера мужчины была установлена его причастность к семи аналогичным преступлениям, совершенным на территории Москвы в период с 2003 по 2011 год.</w:t>
      </w:r>
    </w:p>
    <w:p>
      <w:pPr>
        <w:pStyle w:val="BodyText"/>
      </w:pPr>
      <w:r>
        <w:t xml:space="preserve">Установлено, что злоумышленник, применяя физическое насилие, совершил в отношении семи женщин, живущих на территории САО и СВАО г. Москвы, насильственные действия сексуального характера, после чего открыто похитил у них деньги, ювелирные украшения, а затем с похищенным с места происшествия скрылся.</w:t>
      </w:r>
    </w:p>
    <w:p>
      <w:pPr>
        <w:pStyle w:val="BodyText"/>
      </w:pPr>
      <w:r>
        <w:t xml:space="preserve">В результате взаимодействия следственных органов и сотрудников столичных оперативных служб вина подозреваемого в совершении особо тяжких преступлений прошлых лет полностью доказана материалами уголовного дела. Злоумышленнику предъявлено обвинение по всем семи эпизодам преступной деятельности.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http://begovoy.mos.ru/safety/atc-cao-reports/detail/12763609.html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636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636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2025-06-14T14:22:20Z</dcterms:created>
  <dcterms:modified xsi:type="dcterms:W3CDTF">2025-06-14T14:22:20Z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