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857eccee72d2519158d2a64ae61c38110b4aa"/>
    <w:p>
      <w:pPr>
        <w:pStyle w:val="Heading3"/>
      </w:pPr>
      <w:r>
        <w:t xml:space="preserve">Правовой отдел УВД по САО ГУ МВД России по г. Москве информирует граждан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t xml:space="preserve">Начальник ПО УВД по САО ГУ МВД России по г. Москве подполковник</w:t>
      </w:r>
    </w:p>
    <w:p>
      <w:pPr>
        <w:pStyle w:val="BodyText"/>
      </w:pPr>
      <w:r>
        <w:t xml:space="preserve">внутренней службы Анна Чернянская рассказывает об особенностях</w:t>
      </w:r>
    </w:p>
    <w:p>
      <w:pPr>
        <w:pStyle w:val="BodyText"/>
      </w:pPr>
      <w:r>
        <w:t xml:space="preserve">оформления прав на отдельные виды объектов недвижимости.</w:t>
      </w:r>
    </w:p>
    <w:p>
      <w:pPr>
        <w:pStyle w:val="BodyText"/>
      </w:pPr>
      <w:r>
        <w:t xml:space="preserve">В рамках правового информирования граждан сообщаем, что</w:t>
      </w:r>
    </w:p>
    <w:p>
      <w:pPr>
        <w:pStyle w:val="BodyText"/>
      </w:pPr>
      <w:r>
        <w:t xml:space="preserve">Федеральным законом от 02.11.2023 № 509-ФЗ «Об особенностях</w:t>
      </w:r>
    </w:p>
    <w:p>
      <w:pPr>
        <w:pStyle w:val="BodyText"/>
      </w:pPr>
      <w:r>
        <w:t xml:space="preserve">оформления прав на отдельные виды объектов недвижимости и о внесении</w:t>
      </w:r>
    </w:p>
    <w:p>
      <w:pPr>
        <w:pStyle w:val="BodyText"/>
      </w:pPr>
      <w:r>
        <w:t xml:space="preserve">изменений в отдельные законодательные акты Российской Федерации»</w:t>
      </w:r>
    </w:p>
    <w:p>
      <w:pPr>
        <w:pStyle w:val="BodyText"/>
      </w:pPr>
      <w:r>
        <w:t xml:space="preserve">(опубликован 02.11.2023) установлено, что содержащиеся в подготовленных</w:t>
      </w:r>
    </w:p>
    <w:p>
      <w:pPr>
        <w:pStyle w:val="BodyText"/>
      </w:pPr>
      <w:r>
        <w:t xml:space="preserve">в результате выполнения кадастровых работ документах и подлежащие</w:t>
      </w:r>
    </w:p>
    <w:p>
      <w:pPr>
        <w:pStyle w:val="BodyText"/>
      </w:pPr>
      <w:r>
        <w:t xml:space="preserve">внесению в ЕГРН сведения об объекте недвижимости, а также о лице,</w:t>
      </w:r>
    </w:p>
    <w:p>
      <w:pPr>
        <w:pStyle w:val="BodyText"/>
      </w:pPr>
      <w:r>
        <w:t xml:space="preserve">которому предоставлен объект недвижимости, не должны приводить к</w:t>
      </w:r>
    </w:p>
    <w:p>
      <w:pPr>
        <w:pStyle w:val="BodyText"/>
      </w:pPr>
      <w:r>
        <w:t xml:space="preserve">разглашению сведений об объекте недвижимости, составляющих</w:t>
      </w:r>
    </w:p>
    <w:p>
      <w:pPr>
        <w:pStyle w:val="BodyText"/>
      </w:pPr>
      <w:r>
        <w:t xml:space="preserve">государственную тайну.</w:t>
      </w:r>
    </w:p>
    <w:p>
      <w:pPr>
        <w:pStyle w:val="BodyText"/>
      </w:pPr>
      <w:r>
        <w:t xml:space="preserve">Законом, в частности, предусматривается, что в отношении режимных</w:t>
      </w:r>
    </w:p>
    <w:p>
      <w:pPr>
        <w:pStyle w:val="BodyText"/>
      </w:pPr>
      <w:r>
        <w:t xml:space="preserve">объектов государственной регистрации подлежит только право</w:t>
      </w:r>
    </w:p>
    <w:p>
      <w:pPr>
        <w:pStyle w:val="BodyText"/>
      </w:pPr>
      <w:r>
        <w:t xml:space="preserve">собственности Российской Федерации (иного публично-правового</w:t>
      </w:r>
    </w:p>
    <w:p>
      <w:pPr>
        <w:pStyle w:val="BodyText"/>
      </w:pPr>
      <w:r>
        <w:t xml:space="preserve">образования) на такой объект недвижимости, если подлежащие внесению в</w:t>
      </w:r>
    </w:p>
    <w:p>
      <w:pPr>
        <w:pStyle w:val="BodyText"/>
      </w:pPr>
      <w:r>
        <w:t xml:space="preserve">ЕГРН данные о таком режимном объекте могут привести к разглашению</w:t>
      </w:r>
    </w:p>
    <w:p>
      <w:pPr>
        <w:pStyle w:val="BodyText"/>
      </w:pPr>
      <w:r>
        <w:t xml:space="preserve">сведений, составляющих государственную тайну. Договор аренды такого</w:t>
      </w:r>
    </w:p>
    <w:p>
      <w:pPr>
        <w:pStyle w:val="BodyText"/>
      </w:pPr>
      <w:r>
        <w:t xml:space="preserve">объекта недвижимости считается заключенным с момента его подписания</w:t>
      </w:r>
    </w:p>
    <w:p>
      <w:pPr>
        <w:pStyle w:val="BodyText"/>
      </w:pPr>
      <w:r>
        <w:t xml:space="preserve">сторонами. Право хозяйственного ведения, право оперативного управления</w:t>
      </w:r>
    </w:p>
    <w:p>
      <w:pPr>
        <w:pStyle w:val="BodyText"/>
      </w:pPr>
      <w:r>
        <w:t xml:space="preserve">таким объектом недвижимости, право постоянного (бессрочного)</w:t>
      </w:r>
    </w:p>
    <w:p>
      <w:pPr>
        <w:pStyle w:val="BodyText"/>
      </w:pPr>
      <w:r>
        <w:t xml:space="preserve">пользования земельным участком, право безвозмездного пользования</w:t>
      </w:r>
    </w:p>
    <w:p>
      <w:pPr>
        <w:pStyle w:val="BodyText"/>
      </w:pPr>
      <w:r>
        <w:t xml:space="preserve">земельным участком возникают с момента передачи соответствующего</w:t>
      </w:r>
    </w:p>
    <w:p>
      <w:pPr>
        <w:pStyle w:val="BodyText"/>
      </w:pPr>
      <w:r>
        <w:t xml:space="preserve">имущества. Правительство наделено полномочиями по утверждению перечня</w:t>
      </w:r>
    </w:p>
    <w:p>
      <w:pPr>
        <w:pStyle w:val="BodyText"/>
      </w:pPr>
      <w:r>
        <w:t xml:space="preserve">видов (типов) находящихся в государственной собственности объектов</w:t>
      </w:r>
    </w:p>
    <w:p>
      <w:pPr>
        <w:pStyle w:val="BodyText"/>
      </w:pPr>
      <w:r>
        <w:t xml:space="preserve">недвижимости (за исключением земельных участков), в отношении которых</w:t>
      </w:r>
    </w:p>
    <w:p>
      <w:pPr>
        <w:pStyle w:val="BodyText"/>
      </w:pPr>
      <w:r>
        <w:t xml:space="preserve">не осуществляется государственный кадастровый учет, право собственности</w:t>
      </w:r>
    </w:p>
    <w:p>
      <w:pPr>
        <w:pStyle w:val="BodyText"/>
      </w:pPr>
      <w:r>
        <w:t xml:space="preserve">Российской Федерации(иного публично-правового образования), другие</w:t>
      </w:r>
    </w:p>
    <w:p>
      <w:pPr>
        <w:pStyle w:val="BodyText"/>
      </w:pPr>
      <w:r>
        <w:t xml:space="preserve">вещные права на которые, ограничения этих прав не подлежат</w:t>
      </w:r>
    </w:p>
    <w:p>
      <w:pPr>
        <w:pStyle w:val="BodyText"/>
      </w:pPr>
      <w:r>
        <w:t xml:space="preserve">государственной регистрации и сведения о которых составляют</w:t>
      </w:r>
    </w:p>
    <w:p>
      <w:pPr>
        <w:pStyle w:val="BodyText"/>
      </w:pPr>
      <w:r>
        <w:t xml:space="preserve">государственную тайну. Право собственности Российской Федерации (иного</w:t>
      </w:r>
    </w:p>
    <w:p>
      <w:pPr>
        <w:pStyle w:val="BodyText"/>
      </w:pPr>
      <w:r>
        <w:t xml:space="preserve">публично-правового образования) на такие объекты недвижимости считается</w:t>
      </w:r>
    </w:p>
    <w:p>
      <w:pPr>
        <w:pStyle w:val="BodyText"/>
      </w:pPr>
      <w:r>
        <w:t xml:space="preserve">возникшим в силу федерального закона. Федеральный закон вступает в силу</w:t>
      </w:r>
    </w:p>
    <w:p>
      <w:pPr>
        <w:pStyle w:val="BodyText"/>
      </w:pPr>
      <w:r>
        <w:t xml:space="preserve">по истечении 180 дней после дня его официального опубликования.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http://begovoy.mos.ru/objavleniya/security/detail/12129120.html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291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291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2025-06-13T07:44:25Z</dcterms:created>
  <dcterms:modified xsi:type="dcterms:W3CDTF">2025-06-13T07:44:25Z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