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4b5169c2a74a94a375aaf764ebad6fc6454f"/>
    <w:p>
      <w:pPr>
        <w:pStyle w:val="Heading3"/>
      </w:pPr>
      <w:r>
        <w:t xml:space="preserve">Правовой отдел УВД по САО информирует граждан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rPr>
          <w:iCs/>
          <w:i/>
        </w:rPr>
        <w:t xml:space="preserve">Начальник ПО УВД по САО ГУ МВД России по Г. Москве подполковник внутренней службы Анна Чернянская информирует граждан об изменении в законодательстве.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 1 января 2023 года упростили возврат излишне уплаченной госпошлины</w:t>
      </w:r>
    </w:p>
    <w:p>
      <w:pPr>
        <w:pStyle w:val="BodyText"/>
      </w:pPr>
      <w:r>
        <w:t xml:space="preserve">К заявлению о возврате госпошлины, которую внесли наличными, разрешили не прилагать подлинники платёжных документов. Теперь достаточно их копий. Поправки заработали с нового года.</w:t>
      </w:r>
    </w:p>
    <w:p>
      <w:pPr>
        <w:pStyle w:val="BodyText"/>
      </w:pPr>
      <w:r>
        <w:t xml:space="preserve">Для полного возврата судебной госпошлины нужно среди прочего приложить копии документов об уплате. Ранее копии прилагали только для частичного возврата, а для полного НК РФ требовал оригиналы. Документально подтверждать уплату не надо, если информация о платеже есть в спецсистеме.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Продлят программу льготной ипотеки и расширят доступ к семейной ипотеке</w:t>
      </w:r>
    </w:p>
    <w:p>
      <w:pPr>
        <w:pStyle w:val="BodyText"/>
      </w:pPr>
      <w:r>
        <w:t xml:space="preserve">Кредитный договор, например для покупки нового жилья у застройщиков, по программе льготной ипотеки разрешат заключить до 1 июля 2024 года включительно. Пока это можно сделать до конца 2022 года.</w:t>
      </w:r>
    </w:p>
    <w:p>
      <w:pPr>
        <w:pStyle w:val="BodyText"/>
      </w:pPr>
      <w:r>
        <w:t xml:space="preserve">По кредитным договорам, которые станут заключать со дня, когда заработают поправки, максимальная ставка — 8% годовых. Сейчас для соглашений, которые оформляют с 21 июня 2022 года, такая ставка — 7% годовых.</w:t>
      </w:r>
    </w:p>
    <w:p>
      <w:pPr>
        <w:pStyle w:val="BodyText"/>
      </w:pPr>
      <w:r>
        <w:t xml:space="preserve">Не изменят правило о том, что предельную ставку применяют к части кредита не выше:</w:t>
      </w:r>
    </w:p>
    <w:p>
      <w:pPr>
        <w:pStyle w:val="BodyText"/>
      </w:pPr>
      <w:r>
        <w:t xml:space="preserve">- 12 млн руб. - для жилья в столице, Подмосковье, Санкт-Петербурге и Ленинградской области;</w:t>
      </w:r>
    </w:p>
    <w:p>
      <w:pPr>
        <w:pStyle w:val="BodyText"/>
      </w:pPr>
      <w:r>
        <w:t xml:space="preserve">- 6 млн руб. - в других регионах.</w:t>
      </w:r>
    </w:p>
    <w:p>
      <w:pPr>
        <w:pStyle w:val="BodyText"/>
      </w:pPr>
      <w:r>
        <w:t xml:space="preserve">Программа семейная ипотека  по ставке 6% годовых станет доступна и тем гражданам, у кого есть хотя бы 2 ребёнка, которым на дату совершения сделки ещё нет 18 лет.</w:t>
      </w:r>
    </w:p>
    <w:p>
      <w:pPr>
        <w:pStyle w:val="BodyText"/>
      </w:pPr>
      <w:r>
        <w:t xml:space="preserve">Сейчас дата рождения минимум одного ребёнка должна быть не ранее 1 января 2018 года. Правило не затрагивает случаи, когда семейную ипотеку по той же ставке берут по особому основанию.</w:t>
      </w:r>
    </w:p>
    <w:p>
      <w:pPr>
        <w:pStyle w:val="BodyText"/>
      </w:pPr>
      <w:r>
        <w:t xml:space="preserve">Есть и другие параметры обеих программ, а также прочие новшества.</w:t>
      </w:r>
    </w:p>
    <w:p>
      <w:pPr>
        <w:pStyle w:val="BodyText"/>
      </w:pPr>
      <w:r>
        <w:t xml:space="preserve">Поправки вступят в силу через 7 дней после даты официально опубликования. Пока постановление разместили лишь на сайте правительства.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http://begovoy.mos.ru/safety/atc-cao-reports/detail/11351590.html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1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1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2025-06-13T14:57:50Z</dcterms:created>
  <dcterms:modified xsi:type="dcterms:W3CDTF">2025-06-13T14:57:50Z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