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b30545f864dcab12c6f3f8ccaa14b75ec65c0"/>
    <w:p>
      <w:pPr>
        <w:pStyle w:val="Heading3"/>
      </w:pPr>
      <w:r>
        <w:t xml:space="preserve">УВД по САО информирует граждан о новом сервисе на портале государственных услуг</w:t>
      </w:r>
    </w:p>
    <w:p>
      <w:pPr>
        <w:pStyle w:val="FirstParagraph"/>
      </w:pPr>
      <w:r>
        <w:t xml:space="preserve">24.05.2022</w:t>
      </w:r>
    </w:p>
    <w:p>
      <w:pPr>
        <w:pStyle w:val="BodyText"/>
      </w:pPr>
      <w:r>
        <w:t xml:space="preserve">В целях создания благоприятных условий для работодателей и заказчиков работ или услуг, привлекающих иностранную рабочую силу, Минцифры России по инициативе МВД России на портале госуслуг реализован сервис «Уведомления по трудовым мигрантам», позволяющий подавать электронные уведомления о заключении и расторжении трудовых или гражданско-правовых договоров с иностранными гражданами, а также о выплате заработной платы высококвалифицированным иностранным специалистам.</w:t>
      </w:r>
    </w:p>
    <w:p>
      <w:pPr>
        <w:pStyle w:val="BodyText"/>
      </w:pPr>
      <w:r>
        <w:t xml:space="preserve">Сервис «Уведомления по трудовым мигрантам» на Едином портале Госуслуг позволяет отправлять в подразделения МВД электронные уведомления:</w:t>
      </w:r>
    </w:p>
    <w:p>
      <w:pPr>
        <w:numPr>
          <w:ilvl w:val="0"/>
          <w:numId w:val="1001"/>
        </w:numPr>
        <w:pStyle w:val="Compact"/>
      </w:pPr>
      <w:r>
        <w:t xml:space="preserve">о заключении и расторжении трудового договора с иностранными гражданами;</w:t>
      </w:r>
    </w:p>
    <w:p>
      <w:pPr>
        <w:numPr>
          <w:ilvl w:val="0"/>
          <w:numId w:val="1001"/>
        </w:numPr>
        <w:pStyle w:val="Compact"/>
      </w:pPr>
      <w:r>
        <w:t xml:space="preserve">об обязательствах по выплате зарплаты иностранным гражданам — высококвалифицированным специалистам.</w:t>
      </w:r>
    </w:p>
    <w:p>
      <w:pPr>
        <w:pStyle w:val="FirstParagraph"/>
      </w:pPr>
      <w:r>
        <w:t xml:space="preserve">Работодателю достаточно заполнить предложенную форму на Госуслугах и подписать ее</w:t>
      </w:r>
      <w:r>
        <w:t xml:space="preserve"> </w:t>
      </w:r>
      <w:r>
        <w:rPr>
          <w:bCs/>
          <w:b/>
        </w:rPr>
        <w:t xml:space="preserve">электронной подписью.</w:t>
      </w:r>
    </w:p>
    <w:p>
      <w:pPr>
        <w:pStyle w:val="BodyText"/>
      </w:pPr>
      <w:r>
        <w:t xml:space="preserve">Работодатели могут подать указанные уведомления в электронной форме через личный кабинет на портале государственных услуг, используя усиленную квалифицированную электронную подпись.</w:t>
      </w:r>
    </w:p>
    <w:p>
      <w:pPr>
        <w:pStyle w:val="BodyText"/>
      </w:pPr>
      <w:r>
        <w:t xml:space="preserve">Следует учитывать, что работодателям необходимо подавать уведомления о привлечении иностранных работников независимо от их статуса, в отношении временно или постоянно проживающих на территории России, а также граждан государств-членов Евразийского экономического союза. Неисполнение обязанности по подаче уведомлений может повлечь за собой привлечение работодателя к административной ответственности с наложением штрафных санкций в размере до 1 млн рублей (ч. 3 и ч. 4 ст. 18.15 КоАП РФ).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http://begovoy.mos.ru/objavleniya/security/detail/10826637.html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8266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8266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2025-06-13T05:24:39Z</dcterms:created>
  <dcterms:modified xsi:type="dcterms:W3CDTF">2025-06-13T05:24:39Z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