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a95ef59fb0253a02bf8465fedd2406fc71890"/>
    <w:p>
      <w:pPr>
        <w:pStyle w:val="Heading3"/>
      </w:pPr>
      <w:r>
        <w:t xml:space="preserve">Уважаемые работодатели, иностранные граждане и лица без гражданства!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t xml:space="preserve">Сообщаем Вам, что в связи с разработкой проекта указа Президента Российской Федерации «О временном порядке осуществления трудовой деятельности в Российской Федерации граждан Донецкой Народной Республики, Луганской Народной Республики и Украины», который находится в высокой степени готовности и направленного на установление с 21 февраля 2022 года временного порядка осуществления иностранными гражданами трудовой деятельности, гражданам ДНР, ЛНР и Украины оформление разрешительных документов на право осуществления трудовой деятельности на территории города Москвы (разрешений на работу, патентов) не требуется.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http://begovoy.mos.ru/safety/atc-cao-reports/detail/10754457.html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54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54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2025-06-30T12:44:37Z</dcterms:created>
  <dcterms:modified xsi:type="dcterms:W3CDTF">2025-06-30T12:44:37Z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