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a9fbd865672096039db643ac60f431fb0bbd5"/>
    <w:p>
      <w:pPr>
        <w:pStyle w:val="Heading3"/>
      </w:pPr>
      <w:r>
        <w:t xml:space="preserve">Полицейские севера Москвы задержали подозреваемого в краже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t xml:space="preserve">Полицейскими установлено, что в течение нескольких дней злоумышленник из подвального помещения, расположенного у дома на Ленинградском проспекте, похищал стальные водопроводные трубы в количестве 150 метров. Сумма материального ущерба составила свыше 30 тысяч рублей.</w:t>
      </w:r>
    </w:p>
    <w:p>
      <w:pPr>
        <w:pStyle w:val="BodyText"/>
      </w:pPr>
      <w:r>
        <w:t xml:space="preserve">В результате оперативно-розыскных мероприятий на Скаковой улице сотрудники уголовного розыска задержали подозреваемого. Им оказался 42-летний приезжий мужчина.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дознанием ОМВД России по району Беговой возбуждено уголовное дело по признакам преступления, предусмотренного частью 1 статьи 158 УК РФ «Кража». Санкция данной статьи предусматривает наказание в виде лишения свободы на срок до двух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http://begovoy.mos.ru/safety/atc-cao-reports/detail/10140876.html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4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14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2025-06-14T02:34:55Z</dcterms:created>
  <dcterms:modified xsi:type="dcterms:W3CDTF">2025-06-14T02:34:55Z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