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7e260dc34519aa92cf79c8905b879279cce53"/>
    <w:p>
      <w:pPr>
        <w:pStyle w:val="Heading3"/>
      </w:pPr>
      <w:r>
        <w:t xml:space="preserve">Следствием УВД по САО возбуждено уголовное дело по факту кражи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t xml:space="preserve">Установлено, что неизвестный, находясь на территории гаражно-строительного кооператива, путем взлома навесного замка приник в один из гаражей и похитил строительные леса. Сумма ущерба составила 120 тысяч рублей.</w:t>
      </w:r>
    </w:p>
    <w:p>
      <w:pPr>
        <w:pStyle w:val="BodyText"/>
      </w:pPr>
      <w:r>
        <w:t xml:space="preserve">Спустя некоторое время в ходе патрулирования территории сотрудники патрульно-постовой службы при попытке взлома гаража задержали 37-летнего приезжего.</w:t>
      </w:r>
    </w:p>
    <w:p>
      <w:pPr>
        <w:pStyle w:val="BodyText"/>
      </w:pPr>
      <w:r>
        <w:t xml:space="preserve">В ходе работы с задержанным мужчиной сотрудниками ОМВД России по Тимирязевскому району была выявлена его причастность к ранее совершенному аналогичному противоправному деянию.</w:t>
      </w:r>
    </w:p>
    <w:p>
      <w:pPr>
        <w:pStyle w:val="BodyText"/>
      </w:pPr>
      <w:r>
        <w:t xml:space="preserve">Следствием ОМВД России по Тимирязевскому району возбуждены уголовные дела по признакам преступления, предусмотренного частью 2 статьи 158 УК РФ «Кража». Санкция данной статьи предусматривает наказание в виде лишения свободы на срок до 5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http://begovoy.mos.ru/objavleniya/security/detail/10094618.html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94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94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2025-06-25T09:32:52Z</dcterms:created>
  <dcterms:modified xsi:type="dcterms:W3CDTF">2025-06-25T09:32:52Z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