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b1e8343b214d7abd98653425852ddfaf155f9"/>
    <w:p>
      <w:pPr>
        <w:pStyle w:val="Heading3"/>
      </w:pPr>
      <w:r>
        <w:t xml:space="preserve">Перечень домов САО по итогам голосования на портале «Активный гражданин»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 домов Северного административного округа г.Москвы (САО),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http://begovoy.mos.ru/overhaul/detail/2477551.html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verhaul/detail/2477551.html" TargetMode="External" /><Relationship Type="http://schemas.openxmlformats.org/officeDocument/2006/relationships/hyperlink" Id="rId20" Target="http://fond.mos.ru/special-account-of-an-apartment-building/list-houses-following-the-results-of-voting-on-the-portal-active-citizen/%D0%A1%D0%90%D0%9E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verhaul/detail/2477551.html" TargetMode="External" /><Relationship Type="http://schemas.openxmlformats.org/officeDocument/2006/relationships/hyperlink" Id="rId20" Target="http://fond.mos.ru/special-account-of-an-apartment-building/list-houses-following-the-results-of-voting-on-the-portal-active-citizen/%D0%A1%D0%90%D0%9E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2024-08-13T09:30:53Z</dcterms:created>
  <dcterms:modified xsi:type="dcterms:W3CDTF">2024-08-13T09:30:53Z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